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8208"/>
        <w:gridCol w:w="2304"/>
      </w:tblGrid>
      <w:tr w:rsidR="003D4C00" w14:paraId="306A73D4" w14:textId="77777777">
        <w:trPr>
          <w:jc w:val="center"/>
        </w:trPr>
        <w:tc>
          <w:tcPr>
            <w:tcW w:w="8208" w:type="dxa"/>
            <w:tcBorders>
              <w:top w:val="nil"/>
              <w:left w:val="nil"/>
              <w:bottom w:val="nil"/>
              <w:right w:val="nil"/>
            </w:tcBorders>
          </w:tcPr>
          <w:p w14:paraId="21C05BB6" w14:textId="77777777" w:rsidR="003D4C00" w:rsidRDefault="00AC75D9">
            <w:pPr>
              <w:jc w:val="center"/>
            </w:pPr>
            <w:r>
              <w:rPr>
                <w:noProof/>
              </w:rPr>
              <w:drawing>
                <wp:inline distT="0" distB="0" distL="0" distR="0" wp14:anchorId="3B5E5B21" wp14:editId="2DDAD3B6">
                  <wp:extent cx="2194560" cy="5371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stretch>
                            <a:fillRect/>
                          </a:stretch>
                        </pic:blipFill>
                        <pic:spPr>
                          <a:xfrm>
                            <a:off x="0" y="0"/>
                            <a:ext cx="2194560" cy="537130"/>
                          </a:xfrm>
                          <a:prstGeom prst="rect">
                            <a:avLst/>
                          </a:prstGeom>
                        </pic:spPr>
                      </pic:pic>
                    </a:graphicData>
                  </a:graphic>
                </wp:inline>
              </w:drawing>
            </w:r>
          </w:p>
        </w:tc>
        <w:tc>
          <w:tcPr>
            <w:tcW w:w="2304" w:type="dxa"/>
            <w:tcBorders>
              <w:top w:val="nil"/>
              <w:left w:val="nil"/>
              <w:bottom w:val="nil"/>
              <w:right w:val="nil"/>
            </w:tcBorders>
          </w:tcPr>
          <w:p w14:paraId="6B8B2703" w14:textId="77777777" w:rsidR="003D4C00" w:rsidRDefault="00AC75D9">
            <w:pPr>
              <w:jc w:val="right"/>
            </w:pPr>
            <w:r>
              <w:rPr>
                <w:color w:val="444444"/>
                <w:sz w:val="15"/>
              </w:rPr>
              <w:t>Pour une copie</w:t>
            </w:r>
            <w:r>
              <w:rPr>
                <w:color w:val="444444"/>
                <w:sz w:val="15"/>
              </w:rPr>
              <w:br/>
              <w:t>électronique,</w:t>
            </w:r>
            <w:r>
              <w:rPr>
                <w:color w:val="444444"/>
                <w:sz w:val="15"/>
              </w:rPr>
              <w:br/>
              <w:t>scannez ici</w:t>
            </w:r>
          </w:p>
          <w:p w14:paraId="54648C62" w14:textId="77777777" w:rsidR="003D4C00" w:rsidRDefault="00AC75D9">
            <w:pPr>
              <w:jc w:val="right"/>
            </w:pPr>
            <w:r>
              <w:rPr>
                <w:noProof/>
              </w:rPr>
              <w:drawing>
                <wp:inline distT="0" distB="0" distL="0" distR="0" wp14:anchorId="3EF8B4F9" wp14:editId="664395B6">
                  <wp:extent cx="777240" cy="7772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png"/>
                          <pic:cNvPicPr/>
                        </pic:nvPicPr>
                        <pic:blipFill>
                          <a:blip r:embed="rId9"/>
                          <a:stretch>
                            <a:fillRect/>
                          </a:stretch>
                        </pic:blipFill>
                        <pic:spPr>
                          <a:xfrm>
                            <a:off x="0" y="0"/>
                            <a:ext cx="777240" cy="777240"/>
                          </a:xfrm>
                          <a:prstGeom prst="rect">
                            <a:avLst/>
                          </a:prstGeom>
                        </pic:spPr>
                      </pic:pic>
                    </a:graphicData>
                  </a:graphic>
                </wp:inline>
              </w:drawing>
            </w:r>
          </w:p>
        </w:tc>
      </w:tr>
    </w:tbl>
    <w:p w14:paraId="7EEA58E3" w14:textId="77777777" w:rsidR="003D4C00" w:rsidRDefault="003D4C00">
      <w:pPr>
        <w:spacing w:after="40"/>
      </w:pPr>
    </w:p>
    <w:p w14:paraId="7F610A9A" w14:textId="77777777" w:rsidR="003D4C00" w:rsidRDefault="00AC75D9">
      <w:pPr>
        <w:spacing w:after="120"/>
        <w:jc w:val="center"/>
      </w:pPr>
      <w:r>
        <w:rPr>
          <w:b/>
          <w:color w:val="421C5E"/>
          <w:sz w:val="32"/>
        </w:rPr>
        <w:t>Éducation des adultes et parcours vers l'obtention du diplôme d'études secondaires</w:t>
      </w:r>
    </w:p>
    <w:p w14:paraId="48E0A5D0" w14:textId="77777777" w:rsidR="003D4C00" w:rsidRDefault="00AC75D9">
      <w:pPr>
        <w:spacing w:after="120"/>
      </w:pPr>
      <w:r>
        <w:t>Le département de l'éducation des adultes de Surrey Schools offre une variété de services, de programmes et d'horaires pour aider les élèves à définir leurs objectifs éducatifs et professionnels.</w:t>
      </w:r>
    </w:p>
    <w:p w14:paraId="6D45FDBE" w14:textId="77777777" w:rsidR="003D4C00" w:rsidRDefault="00AC75D9">
      <w:pPr>
        <w:spacing w:after="120"/>
      </w:pPr>
      <w:r>
        <w:t>Il est possible d'améliorer ses compétences en littératie, d'obtenir un certificat d'études secondaires, de mettre à niveau ses cours et d'obtenir un certificat ou un diplôme professionnel au Surrey College.</w:t>
      </w:r>
    </w:p>
    <w:p w14:paraId="3124526B" w14:textId="77777777" w:rsidR="003D4C00" w:rsidRDefault="00AC75D9">
      <w:pPr>
        <w:spacing w:after="120"/>
      </w:pPr>
      <w:r>
        <w:t>Pour plus d'informations, cliquez sur les liens des centres d'éducation ci-dessous ou visitez : Continuous Learning (surreyschools.ca)</w:t>
      </w:r>
    </w:p>
    <w:p w14:paraId="597A9807" w14:textId="77777777" w:rsidR="003D4C00" w:rsidRDefault="00AC75D9">
      <w:pPr>
        <w:spacing w:before="120" w:after="60"/>
      </w:pPr>
      <w:r>
        <w:rPr>
          <w:b/>
          <w:color w:val="421C5E"/>
        </w:rPr>
        <w:t>Invergarry Adult Education Centre (surreyschools.ca)</w:t>
      </w:r>
    </w:p>
    <w:p w14:paraId="4F27377B" w14:textId="77777777" w:rsidR="003D4C00" w:rsidRDefault="00AC75D9">
      <w:pPr>
        <w:spacing w:after="120"/>
      </w:pPr>
      <w:r>
        <w:t>12772 88 Ave., Surrey. V3W 3J9 — Téléphone : 604-595-8218</w:t>
      </w:r>
    </w:p>
    <w:p w14:paraId="2E885BF3" w14:textId="77777777" w:rsidR="003D4C00" w:rsidRDefault="00AC75D9">
      <w:pPr>
        <w:spacing w:before="120" w:after="60"/>
      </w:pPr>
      <w:r>
        <w:rPr>
          <w:b/>
          <w:color w:val="421C5E"/>
        </w:rPr>
        <w:t>Queen Elizabeth Continuing Education (surreyschools.ca)</w:t>
      </w:r>
    </w:p>
    <w:p w14:paraId="403C5331" w14:textId="77777777" w:rsidR="003D4C00" w:rsidRDefault="00AC75D9">
      <w:pPr>
        <w:spacing w:after="120"/>
      </w:pPr>
      <w:r>
        <w:t>9457 King George Blvd., Surrey. V3V 5W4 — Téléphone : 604-581-1413</w:t>
      </w:r>
    </w:p>
    <w:p w14:paraId="65505770" w14:textId="77777777" w:rsidR="003D4C00" w:rsidRDefault="00AC75D9">
      <w:pPr>
        <w:spacing w:before="160" w:after="80"/>
        <w:jc w:val="center"/>
      </w:pPr>
      <w:r>
        <w:rPr>
          <w:b/>
          <w:color w:val="421C5E"/>
          <w:sz w:val="24"/>
        </w:rPr>
        <w:t>Cours de littératie</w:t>
      </w:r>
    </w:p>
    <w:p w14:paraId="56375F51" w14:textId="77777777" w:rsidR="003D4C00" w:rsidRDefault="00AC75D9">
      <w:pPr>
        <w:spacing w:before="120" w:after="60"/>
      </w:pPr>
      <w:r>
        <w:rPr>
          <w:b/>
          <w:color w:val="421C5E"/>
        </w:rPr>
        <w:t>Cours de base en littératie</w:t>
      </w:r>
    </w:p>
    <w:p w14:paraId="25509B64" w14:textId="77777777" w:rsidR="003D4C00" w:rsidRDefault="00AC75D9">
      <w:pPr>
        <w:spacing w:after="120"/>
      </w:pPr>
      <w:r>
        <w:t>Si vous apprenez l'anglais, nous sommes là pour vous aider.</w:t>
      </w:r>
    </w:p>
    <w:p w14:paraId="20661390" w14:textId="77777777" w:rsidR="003D4C00" w:rsidRDefault="00AC75D9">
      <w:pPr>
        <w:spacing w:after="120"/>
      </w:pPr>
      <w:r>
        <w:t>Le programme de base en littératie (Literacy Foundation) est une excellente option pour les élèves dont la langue maternelle n'est pas l'anglais et qui souhaitent terminer leurs études secondaires.</w:t>
      </w:r>
    </w:p>
    <w:p w14:paraId="070932B0" w14:textId="77777777" w:rsidR="003D4C00" w:rsidRDefault="00AC75D9">
      <w:pPr>
        <w:spacing w:after="120"/>
      </w:pPr>
      <w:r>
        <w:t>Le programme de base en littératie répond aux besoins des élèves adultes qui ont d'importantes lacunes en compétences et en connaissances et qui doivent mettre à niveau leurs compétences pour réussir les cours de 10e, 11e et 12e année menant à l'obtention du diplôme.</w:t>
      </w:r>
    </w:p>
    <w:p w14:paraId="06EA4655" w14:textId="77777777" w:rsidR="003D4C00" w:rsidRDefault="00AC75D9">
      <w:pPr>
        <w:spacing w:after="120"/>
      </w:pPr>
      <w:r>
        <w:t>Les nouveaux élèves sont évalués avant de s'inscrire à un cours afin de déterminer leur niveau d'anglais.</w:t>
      </w:r>
    </w:p>
    <w:p w14:paraId="6498EDCA" w14:textId="77777777" w:rsidR="003D4C00" w:rsidRDefault="00AC75D9">
      <w:pPr>
        <w:spacing w:after="120"/>
      </w:pPr>
      <w:r>
        <w:t>Les cours de base en littératie offerts sont :</w:t>
      </w:r>
    </w:p>
    <w:p w14:paraId="59E74017" w14:textId="77777777" w:rsidR="003D4C00" w:rsidRDefault="00AC75D9">
      <w:pPr>
        <w:pStyle w:val="ListBullet"/>
        <w:spacing w:after="40"/>
      </w:pPr>
      <w:r>
        <w:t>Informatique</w:t>
      </w:r>
    </w:p>
    <w:p w14:paraId="179286CD" w14:textId="77777777" w:rsidR="003D4C00" w:rsidRDefault="00AC75D9">
      <w:pPr>
        <w:pStyle w:val="ListBullet"/>
        <w:spacing w:after="40"/>
      </w:pPr>
      <w:r>
        <w:t>Anglais</w:t>
      </w:r>
    </w:p>
    <w:p w14:paraId="6B4A3525" w14:textId="77777777" w:rsidR="003D4C00" w:rsidRDefault="00AC75D9">
      <w:pPr>
        <w:pStyle w:val="ListBullet"/>
        <w:spacing w:after="40"/>
      </w:pPr>
      <w:r>
        <w:t>Mathématiques</w:t>
      </w:r>
    </w:p>
    <w:p w14:paraId="18E5C202" w14:textId="77777777" w:rsidR="003D4C00" w:rsidRDefault="00AC75D9">
      <w:pPr>
        <w:pStyle w:val="ListBullet"/>
        <w:spacing w:after="40"/>
      </w:pPr>
      <w:r>
        <w:t>Sciences</w:t>
      </w:r>
    </w:p>
    <w:p w14:paraId="41507A0D" w14:textId="77777777" w:rsidR="003D4C00" w:rsidRDefault="00AC75D9">
      <w:pPr>
        <w:pStyle w:val="ListBullet"/>
        <w:spacing w:after="40"/>
      </w:pPr>
      <w:r>
        <w:t>Sciences humaines</w:t>
      </w:r>
    </w:p>
    <w:p w14:paraId="47672ED2" w14:textId="77777777" w:rsidR="003D4C00" w:rsidRDefault="00AC75D9">
      <w:pPr>
        <w:spacing w:after="120"/>
      </w:pPr>
      <w:r>
        <w:t>Des cours de jour et du soir sont offerts au Invergarry Adult Education Centre.</w:t>
      </w:r>
    </w:p>
    <w:p w14:paraId="5C7C0FEB" w14:textId="77777777" w:rsidR="003D4C00" w:rsidRDefault="00AC75D9">
      <w:pPr>
        <w:spacing w:after="120"/>
      </w:pPr>
      <w:r>
        <w:t>Le programme « Foundations of Literacy » s'appelait auparavant les programmes de développement de la langue anglaise et d'éducation de base des adultes.</w:t>
      </w:r>
    </w:p>
    <w:p w14:paraId="1E7B9E36" w14:textId="77777777" w:rsidR="003D4C00" w:rsidRDefault="00AC75D9">
      <w:pPr>
        <w:spacing w:before="160" w:after="80"/>
        <w:jc w:val="center"/>
      </w:pPr>
      <w:r>
        <w:rPr>
          <w:b/>
          <w:color w:val="421C5E"/>
          <w:sz w:val="24"/>
        </w:rPr>
        <w:lastRenderedPageBreak/>
        <w:t>Achèvement des études secondaires</w:t>
      </w:r>
    </w:p>
    <w:p w14:paraId="0771506B" w14:textId="77777777" w:rsidR="003D4C00" w:rsidRDefault="00AC75D9">
      <w:pPr>
        <w:spacing w:after="120"/>
      </w:pPr>
      <w:r>
        <w:t>Il n'est jamais trop tard pour terminer ses études secondaires. Surrey Schools offre une variété d'options aux élèves de tous âges pour terminer leurs études secondaires ou leur équivalent et répondre à leurs besoins individuels. Les élèves peuvent suivre des cours théoriques pour :</w:t>
      </w:r>
    </w:p>
    <w:p w14:paraId="2126C156" w14:textId="77777777" w:rsidR="003D4C00" w:rsidRDefault="00AC75D9">
      <w:pPr>
        <w:pStyle w:val="ListBullet"/>
        <w:spacing w:after="40"/>
      </w:pPr>
      <w:r>
        <w:t>Remplir les conditions d'obtention du diplôme d'études secondaires pour adultes de la Colombie-Britannique (BC Adult Graduation Diploma)</w:t>
      </w:r>
    </w:p>
    <w:p w14:paraId="66D3B703" w14:textId="77777777" w:rsidR="003D4C00" w:rsidRDefault="00AC75D9">
      <w:pPr>
        <w:pStyle w:val="ListBullet"/>
        <w:spacing w:after="40"/>
      </w:pPr>
      <w:r>
        <w:t>Satisfaire aux conditions d'admission aux études postsecondaires</w:t>
      </w:r>
    </w:p>
    <w:p w14:paraId="6320E5D3" w14:textId="77777777" w:rsidR="003D4C00" w:rsidRDefault="00AC75D9">
      <w:pPr>
        <w:pStyle w:val="ListBullet"/>
        <w:spacing w:after="40"/>
      </w:pPr>
      <w:r>
        <w:t>Consacrer plus de temps à un cours difficile</w:t>
      </w:r>
    </w:p>
    <w:p w14:paraId="001DB389" w14:textId="77777777" w:rsidR="003D4C00" w:rsidRDefault="00AC75D9">
      <w:pPr>
        <w:pStyle w:val="ListBullet"/>
        <w:spacing w:after="40"/>
      </w:pPr>
      <w:r>
        <w:t>Améliorer ses notes ou reprendre un cours échoué</w:t>
      </w:r>
    </w:p>
    <w:p w14:paraId="0E7D471E" w14:textId="77777777" w:rsidR="003D4C00" w:rsidRDefault="00AC75D9">
      <w:pPr>
        <w:spacing w:after="120"/>
      </w:pPr>
      <w:r>
        <w:t>Communiquez avec le centre d'éducation des adultes le plus proche ou avec la Surrey Academy of Innovative Learning pour plus d'informations.</w:t>
      </w:r>
    </w:p>
    <w:p w14:paraId="771E1427" w14:textId="77777777" w:rsidR="003D4C00" w:rsidRDefault="00AC75D9">
      <w:pPr>
        <w:spacing w:before="120" w:after="60"/>
      </w:pPr>
      <w:r>
        <w:rPr>
          <w:b/>
          <w:color w:val="421C5E"/>
        </w:rPr>
        <w:t>Programmes d'achèvement des études secondaires</w:t>
      </w:r>
    </w:p>
    <w:p w14:paraId="57F80499" w14:textId="77777777" w:rsidR="003D4C00" w:rsidRDefault="00AC75D9">
      <w:pPr>
        <w:spacing w:before="120" w:after="60"/>
      </w:pPr>
      <w:r>
        <w:rPr>
          <w:b/>
          <w:color w:val="421C5E"/>
        </w:rPr>
        <w:t>10e, 11e et 12e année</w:t>
      </w:r>
    </w:p>
    <w:p w14:paraId="60D54B4E" w14:textId="77777777" w:rsidR="003D4C00" w:rsidRDefault="00AC75D9">
      <w:pPr>
        <w:pStyle w:val="ListBullet"/>
        <w:spacing w:after="40"/>
      </w:pPr>
      <w:r>
        <w:t>Des cours sont offerts dans diverses matières, notamment l'anglais, les sciences humaines, les mathématiques, l'éducation aux affaires et les sciences. Les élèves suivent ces cours pour obtenir un diplôme d'études secondaires, se préparer aux études postsecondaires ou améliorer leurs notes actuelles.</w:t>
      </w:r>
    </w:p>
    <w:p w14:paraId="71B6D47D" w14:textId="77777777" w:rsidR="003D4C00" w:rsidRDefault="00AC75D9">
      <w:pPr>
        <w:pStyle w:val="ListBullet"/>
        <w:spacing w:after="40"/>
      </w:pPr>
      <w:r>
        <w:t>Les cours de 10e, 11e et 12e année sont offerts à l'éducation des adultes (surreyschools.ca)</w:t>
      </w:r>
    </w:p>
    <w:p w14:paraId="0E02A17F" w14:textId="77777777" w:rsidR="003D4C00" w:rsidRDefault="00AC75D9">
      <w:pPr>
        <w:pStyle w:val="ListBullet"/>
        <w:spacing w:after="40"/>
      </w:pPr>
      <w:r>
        <w:t>Les cours de 11e et 12e année sont offerts au Queen Elizabeth Continuing Education (surreyschools.ca)</w:t>
      </w:r>
    </w:p>
    <w:p w14:paraId="15FA2FC6" w14:textId="77777777" w:rsidR="003D4C00" w:rsidRDefault="00AC75D9">
      <w:pPr>
        <w:spacing w:before="120" w:after="60"/>
      </w:pPr>
      <w:r>
        <w:rPr>
          <w:b/>
          <w:color w:val="421C5E"/>
        </w:rPr>
        <w:t>Diplômes d'études secondaires</w:t>
      </w:r>
    </w:p>
    <w:p w14:paraId="3A077FF8" w14:textId="77777777" w:rsidR="003D4C00" w:rsidRDefault="00AC75D9">
      <w:pPr>
        <w:spacing w:before="120" w:after="60"/>
      </w:pPr>
      <w:r>
        <w:rPr>
          <w:b/>
          <w:color w:val="421C5E"/>
        </w:rPr>
        <w:t>Diplôme Dogwood</w:t>
      </w:r>
    </w:p>
    <w:p w14:paraId="4CC51A0B" w14:textId="77777777" w:rsidR="003D4C00" w:rsidRDefault="00AC75D9">
      <w:pPr>
        <w:spacing w:after="120"/>
      </w:pPr>
      <w:r>
        <w:t>Les élèves qui terminent leurs études secondaires régulières reçoivent un diplôme Dogwood. Cela peut être une option viable pour les élèves à qui il ne manque que quelques crédits pour obtenir leur diplôme. Un conseiller scolaire peut aider à déterminer quels cours choisir. Visitez Certificates of Graduation - Province of British Columbia (gov.bc.ca). Voir p. 15-16 du Graduation Program Policy Guide.</w:t>
      </w:r>
    </w:p>
    <w:p w14:paraId="408506BE" w14:textId="77777777" w:rsidR="003D4C00" w:rsidRDefault="00AC75D9">
      <w:pPr>
        <w:spacing w:before="120" w:after="60"/>
      </w:pPr>
      <w:r>
        <w:rPr>
          <w:b/>
          <w:color w:val="421C5E"/>
        </w:rPr>
        <w:t>Diplôme d'études secondaires pour adultes</w:t>
      </w:r>
    </w:p>
    <w:p w14:paraId="4A606C55" w14:textId="77777777" w:rsidR="003D4C00" w:rsidRDefault="00AC75D9">
      <w:pPr>
        <w:spacing w:after="120"/>
      </w:pPr>
      <w:r>
        <w:t>Le Dogwood pour adultes est un parcours rapide et efficace vers l'obtention du diplôme et la préparation aux études postsecondaires ou au marché du travail. Les élèves doivent avoir 18 ans ou plus. Visitez Certificates of Graduation - Province of British Columbia (gov.bc.ca). Voir p. 16-17 du Graduation Program Policy Guide.</w:t>
      </w:r>
    </w:p>
    <w:p w14:paraId="7028D364" w14:textId="77777777" w:rsidR="003D4C00" w:rsidRDefault="00AC75D9">
      <w:pPr>
        <w:spacing w:before="120" w:after="60"/>
      </w:pPr>
      <w:r>
        <w:rPr>
          <w:b/>
          <w:color w:val="421C5E"/>
        </w:rPr>
        <w:t>Option d'études en ligne (SAIL Academy)</w:t>
      </w:r>
    </w:p>
    <w:p w14:paraId="69428D59" w14:textId="77777777" w:rsidR="003D4C00" w:rsidRDefault="00AC75D9">
      <w:pPr>
        <w:spacing w:after="120"/>
      </w:pPr>
      <w:r>
        <w:t>La Surrey Academy of Innovative Learning permet aux élèves adultes soit de mettre à niveau leur diplôme Dogwood régulier, soit d'obtenir leur diplôme Dogwood pour adultes en ligne. Plus de 100 cours en ligne et sur papier sont offerts, y compris des cours de sciences et de mathématiques de niveau avancé. Tous les cours offrent un soutien enseignant en ligne ainsi que des tutorats en personne. Il y a aussi des conférences en ligne, des travaux de laboratoire, des études en groupe et un enseignement personnal</w:t>
      </w:r>
      <w:r>
        <w:t>isé. Pour plus d'informations, visitez Welcome to SAIL (sailacademy.ca)</w:t>
      </w:r>
    </w:p>
    <w:p w14:paraId="3935906F" w14:textId="77777777" w:rsidR="003D4C00" w:rsidRDefault="00AC75D9">
      <w:pPr>
        <w:spacing w:after="120"/>
      </w:pPr>
      <w:r>
        <w:t>Pour plus d'informations sur les programmes d'éducation des adultes : Adult Education (surreyschools.ca)</w:t>
      </w:r>
    </w:p>
    <w:p w14:paraId="56F2CAE3" w14:textId="77777777" w:rsidR="003D4C00" w:rsidRDefault="00AC75D9">
      <w:pPr>
        <w:spacing w:before="200" w:after="120"/>
      </w:pPr>
      <w:r>
        <w:rPr>
          <w:i/>
          <w:sz w:val="18"/>
        </w:rPr>
        <w:t>Les informations contenues dans cette brochure sont basées sur diverses ressources du district scolaire de Surrey. Cette ressource vise à fournir des informations générales aux familles nouvellement arrivées du district. Pour des informations plus complètes, veuillez utiliser les liens et les ressources partagés dans cette brochure. Cette ressource est un guide seulement; si vous avez des questions ou des préoccupations, veuillez communiquer avec le personnel de l'école. Le district scolaire de Surrey offre</w:t>
      </w:r>
      <w:r>
        <w:rPr>
          <w:i/>
          <w:sz w:val="18"/>
        </w:rPr>
        <w:t xml:space="preserve"> de nombreuses ressources pour soutenir le parcours </w:t>
      </w:r>
      <w:r>
        <w:rPr>
          <w:i/>
          <w:sz w:val="18"/>
        </w:rPr>
        <w:lastRenderedPageBreak/>
        <w:t>d'apprentissage de votre enfant. Pour plus d'informations, visitez : Certificates of Graduation - Province of British Columbia (gov.bc.ca). Révisé en juillet 2025.</w:t>
      </w:r>
    </w:p>
    <w:sectPr w:rsidR="003D4C00" w:rsidSect="00034616">
      <w:footerReference w:type="default" r:id="rId10"/>
      <w:pgSz w:w="12240" w:h="15840"/>
      <w:pgMar w:top="720" w:right="864" w:bottom="864" w:left="864" w:header="720" w:footer="720" w:gutter="0"/>
      <w:pgBorders w:offsetFrom="page">
        <w:top w:val="single" w:sz="12" w:space="18" w:color="421C5E"/>
        <w:left w:val="single" w:sz="12" w:space="18" w:color="421C5E"/>
        <w:bottom w:val="single" w:sz="12" w:space="18" w:color="421C5E"/>
        <w:right w:val="single" w:sz="12" w:space="18" w:color="421C5E"/>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0B2DC" w14:textId="77777777" w:rsidR="00AC75D9" w:rsidRDefault="00AC75D9">
      <w:pPr>
        <w:spacing w:after="0" w:line="240" w:lineRule="auto"/>
      </w:pPr>
      <w:r>
        <w:separator/>
      </w:r>
    </w:p>
  </w:endnote>
  <w:endnote w:type="continuationSeparator" w:id="0">
    <w:p w14:paraId="63D5AC23" w14:textId="77777777" w:rsidR="00AC75D9" w:rsidRDefault="00AC7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9EEDB" w14:textId="77777777" w:rsidR="003D4C00" w:rsidRDefault="00AC75D9">
    <w:pPr>
      <w:pStyle w:val="Footer"/>
      <w:tabs>
        <w:tab w:val="center" w:pos="5256"/>
        <w:tab w:val="right" w:pos="10512"/>
      </w:tabs>
    </w:pPr>
    <w:r>
      <w:tab/>
    </w:r>
    <w:r>
      <w:rPr>
        <w:color w:val="421C5E"/>
        <w:sz w:val="18"/>
      </w:rPr>
      <w:t xml:space="preserve">Page </w:t>
    </w:r>
    <w:r>
      <w:rPr>
        <w:sz w:val="18"/>
      </w:rPr>
      <w:fldChar w:fldCharType="begin"/>
    </w:r>
    <w:r>
      <w:rPr>
        <w:sz w:val="18"/>
      </w:rPr>
      <w:instrText>PAGE</w:instrText>
    </w:r>
    <w:r w:rsidR="001A109E">
      <w:rPr>
        <w:sz w:val="18"/>
      </w:rPr>
      <w:fldChar w:fldCharType="separate"/>
    </w:r>
    <w:r w:rsidR="001A109E">
      <w:rPr>
        <w:noProof/>
        <w:sz w:val="18"/>
      </w:rPr>
      <w:t>1</w:t>
    </w:r>
    <w:r>
      <w:rPr>
        <w:sz w:val="18"/>
      </w:rPr>
      <w:fldChar w:fldCharType="end"/>
    </w:r>
    <w:r>
      <w:rPr>
        <w:color w:val="421C5E"/>
        <w:sz w:val="18"/>
      </w:rPr>
      <w:t xml:space="preserve"> | </w:t>
    </w:r>
    <w:r>
      <w:rPr>
        <w:sz w:val="18"/>
      </w:rPr>
      <w:fldChar w:fldCharType="begin"/>
    </w:r>
    <w:r>
      <w:rPr>
        <w:sz w:val="18"/>
      </w:rPr>
      <w:instrText>NUMPAGES</w:instrText>
    </w:r>
    <w:r w:rsidR="001A109E">
      <w:rPr>
        <w:sz w:val="18"/>
      </w:rPr>
      <w:fldChar w:fldCharType="separate"/>
    </w:r>
    <w:r w:rsidR="001A109E">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D842D" w14:textId="77777777" w:rsidR="00AC75D9" w:rsidRDefault="00AC75D9">
      <w:pPr>
        <w:spacing w:after="0" w:line="240" w:lineRule="auto"/>
      </w:pPr>
      <w:r>
        <w:separator/>
      </w:r>
    </w:p>
  </w:footnote>
  <w:footnote w:type="continuationSeparator" w:id="0">
    <w:p w14:paraId="611262BB" w14:textId="77777777" w:rsidR="00AC75D9" w:rsidRDefault="00AC75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01521120">
    <w:abstractNumId w:val="8"/>
  </w:num>
  <w:num w:numId="2" w16cid:durableId="2111198446">
    <w:abstractNumId w:val="6"/>
  </w:num>
  <w:num w:numId="3" w16cid:durableId="373584888">
    <w:abstractNumId w:val="5"/>
  </w:num>
  <w:num w:numId="4" w16cid:durableId="555316630">
    <w:abstractNumId w:val="4"/>
  </w:num>
  <w:num w:numId="5" w16cid:durableId="28576962">
    <w:abstractNumId w:val="7"/>
  </w:num>
  <w:num w:numId="6" w16cid:durableId="661930960">
    <w:abstractNumId w:val="3"/>
  </w:num>
  <w:num w:numId="7" w16cid:durableId="1656882272">
    <w:abstractNumId w:val="2"/>
  </w:num>
  <w:num w:numId="8" w16cid:durableId="560137980">
    <w:abstractNumId w:val="1"/>
  </w:num>
  <w:num w:numId="9" w16cid:durableId="1087269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109E"/>
    <w:rsid w:val="0029639D"/>
    <w:rsid w:val="00326F90"/>
    <w:rsid w:val="003D4C00"/>
    <w:rsid w:val="005D77B7"/>
    <w:rsid w:val="00AA1D8D"/>
    <w:rsid w:val="00AC75D9"/>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DD5E69"/>
  <w14:defaultImageDpi w14:val="300"/>
  <w15:docId w15:val="{650A72D9-CC74-4CD7-9259-389C1ADB9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824</Words>
  <Characters>4698</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Chintan Shah</cp:lastModifiedBy>
  <cp:revision>2</cp:revision>
  <dcterms:created xsi:type="dcterms:W3CDTF">2026-10-09T14:40:00Z</dcterms:created>
  <dcterms:modified xsi:type="dcterms:W3CDTF">2026-10-09T14:40:00Z</dcterms:modified>
  <cp:category/>
</cp:coreProperties>
</file>