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4"/>
        <w:tblW w:w="0" w:type="auto"/>
        <w:tblLook w:val="04A0" w:firstRow="1" w:lastRow="0" w:firstColumn="1" w:lastColumn="0" w:noHBand="0" w:noVBand="1"/>
      </w:tblPr>
      <w:tblGrid>
        <w:gridCol w:w="10638"/>
      </w:tblGrid>
      <w:tr w:rsidR="00CA3299" w:rsidRPr="00CA3299" w:rsidTr="00C473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8" w:type="dxa"/>
            <w:tcBorders>
              <w:top w:val="single" w:sz="4" w:space="0" w:color="auto"/>
              <w:left w:val="single" w:sz="4" w:space="0" w:color="auto"/>
              <w:bottom w:val="single" w:sz="4" w:space="0" w:color="auto"/>
              <w:right w:val="single" w:sz="4" w:space="0" w:color="auto"/>
            </w:tcBorders>
          </w:tcPr>
          <w:p w:rsidR="00013EF3" w:rsidRDefault="00013EF3" w:rsidP="00AD2D89">
            <w:pPr>
              <w:spacing w:before="240"/>
              <w:jc w:val="center"/>
              <w:rPr>
                <w:rFonts w:ascii="Arial" w:hAnsi="Arial"/>
                <w:color w:val="auto"/>
                <w:sz w:val="32"/>
                <w:szCs w:val="32"/>
                <w:u w:val="single"/>
              </w:rPr>
            </w:pPr>
            <w:r w:rsidRPr="00013EF3">
              <w:rPr>
                <w:rFonts w:ascii="Arial" w:hAnsi="Arial"/>
                <w:color w:val="auto"/>
                <w:sz w:val="32"/>
                <w:szCs w:val="32"/>
                <w:u w:val="single"/>
              </w:rPr>
              <w:t>Apprenticeship &amp; Workplace Mathematics 10</w:t>
            </w:r>
            <w:r>
              <w:t xml:space="preserve"> </w:t>
            </w:r>
            <w:r w:rsidRPr="00013EF3">
              <w:rPr>
                <w:rFonts w:ascii="Arial" w:hAnsi="Arial"/>
                <w:color w:val="auto"/>
                <w:sz w:val="32"/>
                <w:szCs w:val="32"/>
                <w:u w:val="single"/>
              </w:rPr>
              <w:t>Course Outline</w:t>
            </w:r>
          </w:p>
          <w:p w:rsidR="00A81A63" w:rsidRPr="00A81A63" w:rsidRDefault="00A81A63" w:rsidP="00A81A63">
            <w:pPr>
              <w:jc w:val="center"/>
              <w:rPr>
                <w:rFonts w:ascii="Arial" w:hAnsi="Arial"/>
                <w:b w:val="0"/>
                <w:color w:val="auto"/>
                <w:sz w:val="8"/>
                <w:szCs w:val="8"/>
                <w:u w:val="single"/>
              </w:rPr>
            </w:pPr>
          </w:p>
          <w:p w:rsidR="00CA3299" w:rsidRPr="00013EF3" w:rsidRDefault="00CA3299" w:rsidP="00A81A63">
            <w:pPr>
              <w:spacing w:after="200"/>
              <w:ind w:left="360" w:hanging="360"/>
              <w:jc w:val="center"/>
              <w:rPr>
                <w:rFonts w:ascii="Arial" w:hAnsi="Arial"/>
                <w:b w:val="0"/>
                <w:color w:val="auto"/>
                <w:sz w:val="24"/>
                <w:szCs w:val="24"/>
                <w:u w:val="single"/>
              </w:rPr>
            </w:pPr>
            <w:bookmarkStart w:id="0" w:name="_GoBack"/>
            <w:bookmarkEnd w:id="0"/>
          </w:p>
        </w:tc>
      </w:tr>
    </w:tbl>
    <w:p w:rsidR="00E606D7" w:rsidRPr="00E606D7" w:rsidRDefault="00013EF3" w:rsidP="00C4739B">
      <w:pPr>
        <w:pStyle w:val="Default"/>
        <w:spacing w:before="240"/>
        <w:rPr>
          <w:rFonts w:ascii="Arial" w:hAnsi="Arial" w:cs="Arial"/>
          <w:bCs/>
          <w:iCs/>
          <w:sz w:val="28"/>
          <w:szCs w:val="28"/>
        </w:rPr>
      </w:pPr>
      <w:r>
        <w:t xml:space="preserve">Mathematics 10 </w:t>
      </w:r>
      <w:r w:rsidR="00E606D7">
        <w:t xml:space="preserve">Apprenticeship &amp; Workplace is designed to </w:t>
      </w:r>
      <w:r w:rsidR="00FE758E">
        <w:t>develop skills to communicate and reason mathematically, make connections between the mathematical concepts to each other, other disciplines</w:t>
      </w:r>
      <w:r w:rsidR="00FC20E1">
        <w:t xml:space="preserve"> and personal interests, and focus on financial literacy which provides the </w:t>
      </w:r>
      <w:r w:rsidR="00FC20E1">
        <w:rPr>
          <w:rFonts w:ascii="Verdana" w:hAnsi="Verdana"/>
          <w:sz w:val="18"/>
          <w:szCs w:val="18"/>
          <w:shd w:val="clear" w:color="auto" w:fill="FFFFFF"/>
        </w:rPr>
        <w:t xml:space="preserve">knowledge and skills to make responsible economic and financial decisions with confidence. </w:t>
      </w:r>
    </w:p>
    <w:p w:rsidR="007B5609" w:rsidRPr="007B5609" w:rsidRDefault="007B5609" w:rsidP="00C4739B">
      <w:pPr>
        <w:pBdr>
          <w:bottom w:val="single" w:sz="4" w:space="1" w:color="auto"/>
        </w:pBdr>
        <w:spacing w:before="240" w:after="240"/>
        <w:rPr>
          <w:b/>
          <w:sz w:val="24"/>
          <w:szCs w:val="24"/>
        </w:rPr>
      </w:pPr>
      <w:r w:rsidRPr="007B5609">
        <w:rPr>
          <w:b/>
          <w:sz w:val="24"/>
          <w:szCs w:val="24"/>
        </w:rPr>
        <w:t>The student will</w:t>
      </w:r>
    </w:p>
    <w:p w:rsidR="007B5609" w:rsidRPr="007B5609" w:rsidRDefault="007B5609" w:rsidP="007B5609">
      <w:pPr>
        <w:numPr>
          <w:ilvl w:val="0"/>
          <w:numId w:val="2"/>
        </w:numPr>
        <w:spacing w:after="0" w:line="240" w:lineRule="auto"/>
        <w:rPr>
          <w:sz w:val="24"/>
          <w:szCs w:val="24"/>
        </w:rPr>
      </w:pPr>
      <w:r w:rsidRPr="007B5609">
        <w:rPr>
          <w:sz w:val="24"/>
          <w:szCs w:val="24"/>
        </w:rPr>
        <w:t>Use reasoning and logic to analyze and apply mathematical ideas</w:t>
      </w:r>
    </w:p>
    <w:p w:rsidR="007B5609" w:rsidRPr="007B5609" w:rsidRDefault="007B5609" w:rsidP="007B5609">
      <w:pPr>
        <w:numPr>
          <w:ilvl w:val="0"/>
          <w:numId w:val="2"/>
        </w:numPr>
        <w:spacing w:after="0" w:line="240" w:lineRule="auto"/>
        <w:rPr>
          <w:sz w:val="24"/>
          <w:szCs w:val="24"/>
        </w:rPr>
      </w:pPr>
      <w:r w:rsidRPr="007B5609">
        <w:rPr>
          <w:sz w:val="24"/>
          <w:szCs w:val="24"/>
        </w:rPr>
        <w:t xml:space="preserve">Develop, demonstrate, and apply conceptual understanding of mathematical ideas </w:t>
      </w:r>
    </w:p>
    <w:p w:rsidR="007B5609" w:rsidRPr="007B5609" w:rsidRDefault="007B5609" w:rsidP="007B5609">
      <w:pPr>
        <w:numPr>
          <w:ilvl w:val="0"/>
          <w:numId w:val="2"/>
        </w:numPr>
        <w:spacing w:after="0" w:line="240" w:lineRule="auto"/>
        <w:rPr>
          <w:sz w:val="24"/>
          <w:szCs w:val="24"/>
        </w:rPr>
      </w:pPr>
      <w:r w:rsidRPr="007B5609">
        <w:rPr>
          <w:sz w:val="24"/>
          <w:szCs w:val="24"/>
        </w:rPr>
        <w:t>Apply flexible strategies to solve problems in both abstract and contextualized situation</w:t>
      </w:r>
    </w:p>
    <w:p w:rsidR="007B5609" w:rsidRPr="007B5609" w:rsidRDefault="007B5609" w:rsidP="007B5609">
      <w:pPr>
        <w:numPr>
          <w:ilvl w:val="0"/>
          <w:numId w:val="2"/>
        </w:numPr>
        <w:spacing w:after="0" w:line="240" w:lineRule="auto"/>
        <w:rPr>
          <w:sz w:val="24"/>
          <w:szCs w:val="24"/>
        </w:rPr>
      </w:pPr>
      <w:r w:rsidRPr="007B5609">
        <w:rPr>
          <w:sz w:val="24"/>
          <w:szCs w:val="24"/>
        </w:rPr>
        <w:t>Engage in problem-solving experiences that are connected to place, story, cultural practices, and perspectives relevant to local First Peoples communities, the local community, and other cultures</w:t>
      </w:r>
    </w:p>
    <w:p w:rsidR="00FF2FD1" w:rsidRPr="00C4739B" w:rsidRDefault="007B5609" w:rsidP="00CA3299">
      <w:pPr>
        <w:numPr>
          <w:ilvl w:val="0"/>
          <w:numId w:val="2"/>
        </w:numPr>
        <w:spacing w:after="0" w:line="240" w:lineRule="auto"/>
        <w:rPr>
          <w:sz w:val="24"/>
          <w:szCs w:val="24"/>
        </w:rPr>
      </w:pPr>
      <w:r w:rsidRPr="007B5609">
        <w:rPr>
          <w:sz w:val="24"/>
          <w:szCs w:val="24"/>
        </w:rPr>
        <w:t>Represent and communicate mathematical thinking and ideas in many ways</w:t>
      </w:r>
    </w:p>
    <w:p w:rsidR="00FC20E1" w:rsidRPr="007B5609" w:rsidRDefault="007B5609" w:rsidP="00C4739B">
      <w:pPr>
        <w:pBdr>
          <w:bottom w:val="single" w:sz="4" w:space="1" w:color="auto"/>
        </w:pBdr>
        <w:spacing w:before="240" w:after="240"/>
        <w:rPr>
          <w:b/>
          <w:sz w:val="24"/>
          <w:szCs w:val="24"/>
        </w:rPr>
      </w:pPr>
      <w:r w:rsidRPr="007B5609">
        <w:rPr>
          <w:b/>
          <w:sz w:val="24"/>
          <w:szCs w:val="24"/>
        </w:rPr>
        <w:t>Big Ideas</w:t>
      </w:r>
    </w:p>
    <w:tbl>
      <w:tblPr>
        <w:tblStyle w:val="TableGrid"/>
        <w:tblW w:w="0" w:type="auto"/>
        <w:tblInd w:w="108" w:type="dxa"/>
        <w:tblLook w:val="04A0" w:firstRow="1" w:lastRow="0" w:firstColumn="1" w:lastColumn="0" w:noHBand="0" w:noVBand="1"/>
      </w:tblPr>
      <w:tblGrid>
        <w:gridCol w:w="2077"/>
        <w:gridCol w:w="2186"/>
        <w:gridCol w:w="2182"/>
        <w:gridCol w:w="2184"/>
        <w:gridCol w:w="1991"/>
      </w:tblGrid>
      <w:tr w:rsidR="007B5609" w:rsidTr="00461883">
        <w:tc>
          <w:tcPr>
            <w:tcW w:w="2095" w:type="dxa"/>
          </w:tcPr>
          <w:p w:rsidR="007B5609" w:rsidRDefault="007B5609" w:rsidP="00CA3299">
            <w:pPr>
              <w:pStyle w:val="Default"/>
              <w:rPr>
                <w:rFonts w:ascii="Arial" w:hAnsi="Arial" w:cs="Arial"/>
                <w:b/>
                <w:bCs/>
                <w:sz w:val="28"/>
                <w:szCs w:val="28"/>
              </w:rPr>
            </w:pPr>
            <w:r w:rsidRPr="007B5609">
              <w:rPr>
                <w:b/>
              </w:rPr>
              <w:t>Proportional comparisons</w:t>
            </w:r>
            <w:r>
              <w:t xml:space="preserve"> can be made among right triangles, using trigonometry</w:t>
            </w:r>
          </w:p>
        </w:tc>
        <w:tc>
          <w:tcPr>
            <w:tcW w:w="2203" w:type="dxa"/>
          </w:tcPr>
          <w:p w:rsidR="007B5609" w:rsidRDefault="007B5609" w:rsidP="00CA3299">
            <w:pPr>
              <w:pStyle w:val="Default"/>
              <w:rPr>
                <w:rFonts w:ascii="Arial" w:hAnsi="Arial" w:cs="Arial"/>
                <w:b/>
                <w:bCs/>
                <w:sz w:val="28"/>
                <w:szCs w:val="28"/>
              </w:rPr>
            </w:pPr>
            <w:r>
              <w:t xml:space="preserve">Understanding </w:t>
            </w:r>
            <w:r w:rsidRPr="007B5609">
              <w:rPr>
                <w:b/>
              </w:rPr>
              <w:t>operations</w:t>
            </w:r>
            <w:r>
              <w:t xml:space="preserve"> helps when working with formulae and unit conversions.</w:t>
            </w:r>
          </w:p>
        </w:tc>
        <w:tc>
          <w:tcPr>
            <w:tcW w:w="2203" w:type="dxa"/>
          </w:tcPr>
          <w:p w:rsidR="007B5609" w:rsidRDefault="007B5609" w:rsidP="00CA3299">
            <w:pPr>
              <w:pStyle w:val="Default"/>
              <w:rPr>
                <w:rFonts w:ascii="Arial" w:hAnsi="Arial" w:cs="Arial"/>
                <w:b/>
                <w:bCs/>
                <w:sz w:val="28"/>
                <w:szCs w:val="28"/>
              </w:rPr>
            </w:pPr>
            <w:r>
              <w:t xml:space="preserve">Many </w:t>
            </w:r>
            <w:r w:rsidRPr="007B5609">
              <w:rPr>
                <w:b/>
              </w:rPr>
              <w:t>relationships</w:t>
            </w:r>
            <w:r>
              <w:t xml:space="preserve"> can be modelled and interpreted using graphs.</w:t>
            </w:r>
          </w:p>
        </w:tc>
        <w:tc>
          <w:tcPr>
            <w:tcW w:w="2203" w:type="dxa"/>
          </w:tcPr>
          <w:p w:rsidR="007B5609" w:rsidRDefault="007B5609" w:rsidP="00CA3299">
            <w:pPr>
              <w:pStyle w:val="Default"/>
              <w:rPr>
                <w:rFonts w:ascii="Arial" w:hAnsi="Arial" w:cs="Arial"/>
                <w:b/>
                <w:bCs/>
                <w:sz w:val="28"/>
                <w:szCs w:val="28"/>
              </w:rPr>
            </w:pPr>
            <w:r>
              <w:t xml:space="preserve">Varying the transversal allows us to notice </w:t>
            </w:r>
            <w:r w:rsidRPr="007B5609">
              <w:rPr>
                <w:b/>
              </w:rPr>
              <w:t>angle relationships.</w:t>
            </w:r>
          </w:p>
        </w:tc>
        <w:tc>
          <w:tcPr>
            <w:tcW w:w="2006" w:type="dxa"/>
          </w:tcPr>
          <w:p w:rsidR="007B5609" w:rsidRDefault="007B5609" w:rsidP="00CA3299">
            <w:pPr>
              <w:pStyle w:val="Default"/>
              <w:rPr>
                <w:rFonts w:ascii="Arial" w:hAnsi="Arial" w:cs="Arial"/>
                <w:b/>
                <w:bCs/>
                <w:sz w:val="28"/>
                <w:szCs w:val="28"/>
              </w:rPr>
            </w:pPr>
            <w:r>
              <w:t xml:space="preserve">Analyzing simulations and </w:t>
            </w:r>
            <w:r w:rsidRPr="007B5609">
              <w:rPr>
                <w:b/>
              </w:rPr>
              <w:t>data</w:t>
            </w:r>
            <w:r>
              <w:t xml:space="preserve"> allows us to notice trends and relationships.</w:t>
            </w:r>
          </w:p>
        </w:tc>
      </w:tr>
    </w:tbl>
    <w:p w:rsidR="007B5609" w:rsidRPr="007B5609" w:rsidRDefault="007B5609" w:rsidP="00C4739B">
      <w:pPr>
        <w:pBdr>
          <w:bottom w:val="single" w:sz="4" w:space="1" w:color="auto"/>
        </w:pBdr>
        <w:spacing w:before="240" w:after="240"/>
        <w:rPr>
          <w:b/>
          <w:sz w:val="24"/>
          <w:szCs w:val="24"/>
        </w:rPr>
      </w:pPr>
      <w:r>
        <w:rPr>
          <w:b/>
          <w:sz w:val="24"/>
          <w:szCs w:val="24"/>
        </w:rPr>
        <w:t xml:space="preserve">Content </w:t>
      </w:r>
    </w:p>
    <w:tbl>
      <w:tblPr>
        <w:tblStyle w:val="TableGrid"/>
        <w:tblW w:w="0" w:type="auto"/>
        <w:tblInd w:w="108" w:type="dxa"/>
        <w:tblLook w:val="04A0" w:firstRow="1" w:lastRow="0" w:firstColumn="1" w:lastColumn="0" w:noHBand="0" w:noVBand="1"/>
      </w:tblPr>
      <w:tblGrid>
        <w:gridCol w:w="2508"/>
        <w:gridCol w:w="8112"/>
      </w:tblGrid>
      <w:tr w:rsidR="007B5609" w:rsidTr="00461883">
        <w:tc>
          <w:tcPr>
            <w:tcW w:w="2520" w:type="dxa"/>
          </w:tcPr>
          <w:p w:rsidR="007B5609" w:rsidRDefault="007B5609" w:rsidP="007B5609">
            <w:pPr>
              <w:pStyle w:val="Default"/>
            </w:pPr>
            <w:r w:rsidRPr="007B5609">
              <w:t>Operation</w:t>
            </w:r>
          </w:p>
        </w:tc>
        <w:tc>
          <w:tcPr>
            <w:tcW w:w="8190" w:type="dxa"/>
          </w:tcPr>
          <w:p w:rsidR="007B5609" w:rsidRDefault="007B5609" w:rsidP="007B5609">
            <w:pPr>
              <w:pStyle w:val="Default"/>
            </w:pPr>
            <w:r>
              <w:t>Computational Fluency</w:t>
            </w:r>
          </w:p>
        </w:tc>
      </w:tr>
      <w:tr w:rsidR="007B5609" w:rsidTr="00461883">
        <w:tc>
          <w:tcPr>
            <w:tcW w:w="2520" w:type="dxa"/>
          </w:tcPr>
          <w:p w:rsidR="007B5609" w:rsidRDefault="007B5609" w:rsidP="007B5609">
            <w:pPr>
              <w:pStyle w:val="Default"/>
            </w:pPr>
            <w:r w:rsidRPr="007B5609">
              <w:t>Proportional Comparison</w:t>
            </w:r>
          </w:p>
        </w:tc>
        <w:tc>
          <w:tcPr>
            <w:tcW w:w="8190" w:type="dxa"/>
          </w:tcPr>
          <w:p w:rsidR="007B5609" w:rsidRDefault="007B5609" w:rsidP="007B5609">
            <w:pPr>
              <w:pStyle w:val="Default"/>
            </w:pPr>
            <w:r w:rsidRPr="00FF2FD1">
              <w:t>Geometry and Measurement</w:t>
            </w:r>
          </w:p>
        </w:tc>
      </w:tr>
      <w:tr w:rsidR="007B5609" w:rsidTr="00461883">
        <w:tc>
          <w:tcPr>
            <w:tcW w:w="2520" w:type="dxa"/>
          </w:tcPr>
          <w:p w:rsidR="007B5609" w:rsidRDefault="007B5609" w:rsidP="007B5609">
            <w:pPr>
              <w:pStyle w:val="Default"/>
            </w:pPr>
            <w:r w:rsidRPr="007B5609">
              <w:t>Relationships</w:t>
            </w:r>
          </w:p>
        </w:tc>
        <w:tc>
          <w:tcPr>
            <w:tcW w:w="8190" w:type="dxa"/>
          </w:tcPr>
          <w:p w:rsidR="007B5609" w:rsidRDefault="007B5609" w:rsidP="007B5609">
            <w:pPr>
              <w:pStyle w:val="Default"/>
            </w:pPr>
            <w:r>
              <w:t xml:space="preserve">Pattern, graphing  </w:t>
            </w:r>
          </w:p>
        </w:tc>
      </w:tr>
      <w:tr w:rsidR="007B5609" w:rsidTr="00461883">
        <w:tc>
          <w:tcPr>
            <w:tcW w:w="2520" w:type="dxa"/>
          </w:tcPr>
          <w:p w:rsidR="007B5609" w:rsidRDefault="007B5609" w:rsidP="007B5609">
            <w:pPr>
              <w:pStyle w:val="Default"/>
            </w:pPr>
            <w:r w:rsidRPr="007B5609">
              <w:t>Angle relationships</w:t>
            </w:r>
          </w:p>
        </w:tc>
        <w:tc>
          <w:tcPr>
            <w:tcW w:w="8190" w:type="dxa"/>
          </w:tcPr>
          <w:p w:rsidR="007B5609" w:rsidRDefault="007B5609" w:rsidP="007B5609">
            <w:pPr>
              <w:pStyle w:val="Default"/>
            </w:pPr>
            <w:r>
              <w:t>Geometry and Measurement involving primary trigonometric ratios; metric and imperial measurement and conversions; solving problems involving surface area and volume; angles</w:t>
            </w:r>
          </w:p>
        </w:tc>
      </w:tr>
      <w:tr w:rsidR="007B5609" w:rsidTr="00461883">
        <w:tc>
          <w:tcPr>
            <w:tcW w:w="2520" w:type="dxa"/>
          </w:tcPr>
          <w:p w:rsidR="007B5609" w:rsidRDefault="007B5609" w:rsidP="007B5609">
            <w:pPr>
              <w:pStyle w:val="Default"/>
            </w:pPr>
            <w:r w:rsidRPr="007B5609">
              <w:t>Financial literacy</w:t>
            </w:r>
          </w:p>
        </w:tc>
        <w:tc>
          <w:tcPr>
            <w:tcW w:w="8190" w:type="dxa"/>
          </w:tcPr>
          <w:p w:rsidR="007B5609" w:rsidRDefault="007B5609" w:rsidP="007B5609">
            <w:pPr>
              <w:pStyle w:val="Default"/>
            </w:pPr>
            <w:r>
              <w:t>gross and net pay</w:t>
            </w:r>
          </w:p>
        </w:tc>
      </w:tr>
      <w:tr w:rsidR="007B5609" w:rsidTr="00461883">
        <w:tc>
          <w:tcPr>
            <w:tcW w:w="2520" w:type="dxa"/>
          </w:tcPr>
          <w:p w:rsidR="007B5609" w:rsidRPr="007B5609" w:rsidRDefault="007B5609" w:rsidP="007B5609">
            <w:pPr>
              <w:pStyle w:val="Default"/>
            </w:pPr>
            <w:r w:rsidRPr="007B5609">
              <w:t>Data and Probability</w:t>
            </w:r>
          </w:p>
        </w:tc>
        <w:tc>
          <w:tcPr>
            <w:tcW w:w="8190" w:type="dxa"/>
          </w:tcPr>
          <w:p w:rsidR="007B5609" w:rsidRDefault="007B5609" w:rsidP="00B05C3F">
            <w:pPr>
              <w:pStyle w:val="Default"/>
            </w:pPr>
            <w:r>
              <w:t>create, interpret, and critique graphs; central tend</w:t>
            </w:r>
            <w:r w:rsidR="00B05C3F">
              <w:t>ency; experimental probability</w:t>
            </w:r>
          </w:p>
        </w:tc>
      </w:tr>
    </w:tbl>
    <w:p w:rsidR="00246AF4" w:rsidRPr="00AD2D89" w:rsidRDefault="00246AF4" w:rsidP="00AD2D89">
      <w:pPr>
        <w:pBdr>
          <w:bottom w:val="single" w:sz="4" w:space="1" w:color="auto"/>
        </w:pBdr>
        <w:spacing w:before="240" w:after="240"/>
        <w:rPr>
          <w:b/>
          <w:sz w:val="24"/>
          <w:szCs w:val="24"/>
        </w:rPr>
      </w:pPr>
      <w:r w:rsidRPr="00AD2D89">
        <w:rPr>
          <w:b/>
          <w:sz w:val="24"/>
          <w:szCs w:val="24"/>
        </w:rPr>
        <w:t xml:space="preserve">Course Overview - Assessment and Evaluation:  </w:t>
      </w:r>
    </w:p>
    <w:p w:rsidR="00246AF4" w:rsidRPr="00C4739B" w:rsidRDefault="00246AF4" w:rsidP="00246AF4">
      <w:pPr>
        <w:rPr>
          <w:sz w:val="24"/>
          <w:szCs w:val="24"/>
        </w:rPr>
      </w:pPr>
      <w:r w:rsidRPr="00C4739B">
        <w:rPr>
          <w:sz w:val="24"/>
          <w:szCs w:val="24"/>
        </w:rPr>
        <w:t xml:space="preserve">Several formative assessments will be used to check understanding and skill building throughout the semester. Summative assessment will be used for formal assessment relating to established learning standards at the end of a Topic/ a Unit/ semester. This assessment will be used to determine marks for formal reporting period. </w:t>
      </w:r>
    </w:p>
    <w:p w:rsidR="00246AF4" w:rsidRPr="00C4739B" w:rsidRDefault="00246AF4" w:rsidP="00246AF4">
      <w:pPr>
        <w:rPr>
          <w:sz w:val="24"/>
          <w:szCs w:val="24"/>
        </w:rPr>
      </w:pPr>
      <w:r w:rsidRPr="00C4739B">
        <w:rPr>
          <w:b/>
          <w:sz w:val="24"/>
          <w:szCs w:val="24"/>
          <w:u w:val="single"/>
        </w:rPr>
        <w:t>Grades</w:t>
      </w:r>
      <w:r w:rsidRPr="00C4739B">
        <w:rPr>
          <w:sz w:val="24"/>
          <w:szCs w:val="24"/>
        </w:rPr>
        <w:t xml:space="preserve">: </w:t>
      </w:r>
      <w:hyperlink r:id="rId5" w:history="1">
        <w:r w:rsidRPr="00C4739B">
          <w:rPr>
            <w:rStyle w:val="Hyperlink"/>
            <w:sz w:val="24"/>
            <w:szCs w:val="24"/>
          </w:rPr>
          <w:t>www.freshgrade.com</w:t>
        </w:r>
      </w:hyperlink>
      <w:r w:rsidRPr="00C4739B">
        <w:rPr>
          <w:sz w:val="24"/>
          <w:szCs w:val="24"/>
        </w:rPr>
        <w:t xml:space="preserve"> </w:t>
      </w:r>
    </w:p>
    <w:p w:rsidR="00246AF4" w:rsidRPr="00C4739B" w:rsidRDefault="0009598C" w:rsidP="00C4739B">
      <w:pPr>
        <w:tabs>
          <w:tab w:val="left" w:pos="3240"/>
          <w:tab w:val="left" w:pos="5220"/>
        </w:tabs>
        <w:spacing w:after="0"/>
        <w:rPr>
          <w:sz w:val="24"/>
          <w:szCs w:val="24"/>
        </w:rPr>
      </w:pPr>
      <w:r w:rsidRPr="00C4739B">
        <w:rPr>
          <w:sz w:val="24"/>
          <w:szCs w:val="24"/>
        </w:rPr>
        <w:lastRenderedPageBreak/>
        <w:t>Summative assessment guideline:</w:t>
      </w:r>
    </w:p>
    <w:p w:rsidR="0009598C" w:rsidRPr="00C4739B" w:rsidRDefault="00461883" w:rsidP="0009598C">
      <w:pPr>
        <w:pStyle w:val="ListParagraph"/>
        <w:numPr>
          <w:ilvl w:val="0"/>
          <w:numId w:val="4"/>
        </w:numPr>
        <w:tabs>
          <w:tab w:val="left" w:pos="3240"/>
          <w:tab w:val="left" w:pos="5220"/>
        </w:tabs>
        <w:spacing w:after="0"/>
        <w:rPr>
          <w:sz w:val="24"/>
          <w:szCs w:val="24"/>
        </w:rPr>
      </w:pPr>
      <w:r w:rsidRPr="00C4739B">
        <w:rPr>
          <w:sz w:val="24"/>
          <w:szCs w:val="24"/>
        </w:rPr>
        <w:t xml:space="preserve">Homework </w:t>
      </w:r>
      <w:r w:rsidR="0009598C" w:rsidRPr="00C4739B">
        <w:rPr>
          <w:sz w:val="24"/>
          <w:szCs w:val="24"/>
        </w:rPr>
        <w:t xml:space="preserve">Assignments </w:t>
      </w:r>
      <w:r w:rsidRPr="00C4739B">
        <w:rPr>
          <w:sz w:val="24"/>
          <w:szCs w:val="24"/>
        </w:rPr>
        <w:t xml:space="preserve"> &amp; In class Assignments– 15</w:t>
      </w:r>
      <w:r w:rsidR="0009598C" w:rsidRPr="00C4739B">
        <w:rPr>
          <w:sz w:val="24"/>
          <w:szCs w:val="24"/>
        </w:rPr>
        <w:t>%</w:t>
      </w:r>
    </w:p>
    <w:p w:rsidR="0009598C" w:rsidRPr="00C4739B" w:rsidRDefault="00B932BE" w:rsidP="0009598C">
      <w:pPr>
        <w:pStyle w:val="ListParagraph"/>
        <w:numPr>
          <w:ilvl w:val="0"/>
          <w:numId w:val="4"/>
        </w:numPr>
        <w:tabs>
          <w:tab w:val="left" w:pos="3240"/>
          <w:tab w:val="left" w:pos="5220"/>
        </w:tabs>
        <w:spacing w:after="0"/>
        <w:rPr>
          <w:sz w:val="24"/>
          <w:szCs w:val="24"/>
        </w:rPr>
      </w:pPr>
      <w:r w:rsidRPr="00C4739B">
        <w:rPr>
          <w:sz w:val="24"/>
          <w:szCs w:val="24"/>
        </w:rPr>
        <w:t>Quizzes – 20%</w:t>
      </w:r>
    </w:p>
    <w:p w:rsidR="00B932BE" w:rsidRPr="00C4739B" w:rsidRDefault="00B932BE" w:rsidP="0009598C">
      <w:pPr>
        <w:pStyle w:val="ListParagraph"/>
        <w:numPr>
          <w:ilvl w:val="0"/>
          <w:numId w:val="4"/>
        </w:numPr>
        <w:tabs>
          <w:tab w:val="left" w:pos="3240"/>
          <w:tab w:val="left" w:pos="5220"/>
        </w:tabs>
        <w:spacing w:after="0"/>
        <w:rPr>
          <w:sz w:val="24"/>
          <w:szCs w:val="24"/>
        </w:rPr>
      </w:pPr>
      <w:r w:rsidRPr="00C4739B">
        <w:rPr>
          <w:sz w:val="24"/>
          <w:szCs w:val="24"/>
        </w:rPr>
        <w:t xml:space="preserve">Tests – </w:t>
      </w:r>
      <w:r w:rsidR="00461883" w:rsidRPr="00C4739B">
        <w:rPr>
          <w:sz w:val="24"/>
          <w:szCs w:val="24"/>
        </w:rPr>
        <w:t>30%</w:t>
      </w:r>
    </w:p>
    <w:p w:rsidR="00B932BE" w:rsidRPr="00C4739B" w:rsidRDefault="00B932BE" w:rsidP="0009598C">
      <w:pPr>
        <w:pStyle w:val="ListParagraph"/>
        <w:numPr>
          <w:ilvl w:val="0"/>
          <w:numId w:val="4"/>
        </w:numPr>
        <w:tabs>
          <w:tab w:val="left" w:pos="3240"/>
          <w:tab w:val="left" w:pos="5220"/>
        </w:tabs>
        <w:spacing w:after="0"/>
        <w:rPr>
          <w:sz w:val="24"/>
          <w:szCs w:val="24"/>
        </w:rPr>
      </w:pPr>
      <w:r w:rsidRPr="00C4739B">
        <w:rPr>
          <w:sz w:val="24"/>
          <w:szCs w:val="24"/>
        </w:rPr>
        <w:t xml:space="preserve">Projects – </w:t>
      </w:r>
      <w:r w:rsidR="00461883" w:rsidRPr="00C4739B">
        <w:rPr>
          <w:sz w:val="24"/>
          <w:szCs w:val="24"/>
        </w:rPr>
        <w:t xml:space="preserve"> </w:t>
      </w:r>
      <w:r w:rsidR="00C4739B">
        <w:rPr>
          <w:sz w:val="24"/>
          <w:szCs w:val="24"/>
        </w:rPr>
        <w:t>15</w:t>
      </w:r>
      <w:r w:rsidR="00461883" w:rsidRPr="00C4739B">
        <w:rPr>
          <w:sz w:val="24"/>
          <w:szCs w:val="24"/>
        </w:rPr>
        <w:t>%</w:t>
      </w:r>
    </w:p>
    <w:p w:rsidR="00B932BE" w:rsidRPr="00C4739B" w:rsidRDefault="00B932BE" w:rsidP="0009598C">
      <w:pPr>
        <w:pStyle w:val="ListParagraph"/>
        <w:numPr>
          <w:ilvl w:val="0"/>
          <w:numId w:val="4"/>
        </w:numPr>
        <w:tabs>
          <w:tab w:val="left" w:pos="3240"/>
          <w:tab w:val="left" w:pos="5220"/>
        </w:tabs>
        <w:spacing w:after="0"/>
        <w:rPr>
          <w:sz w:val="24"/>
          <w:szCs w:val="24"/>
        </w:rPr>
      </w:pPr>
      <w:r w:rsidRPr="00C4739B">
        <w:rPr>
          <w:sz w:val="24"/>
          <w:szCs w:val="24"/>
        </w:rPr>
        <w:t xml:space="preserve">Final Exam </w:t>
      </w:r>
      <w:r w:rsidR="00461883" w:rsidRPr="00C4739B">
        <w:rPr>
          <w:sz w:val="24"/>
          <w:szCs w:val="24"/>
        </w:rPr>
        <w:t>– 20%</w:t>
      </w:r>
    </w:p>
    <w:p w:rsidR="00461883" w:rsidRPr="00AD2D89" w:rsidRDefault="00461883" w:rsidP="00AD2D89">
      <w:pPr>
        <w:pBdr>
          <w:bottom w:val="single" w:sz="4" w:space="1" w:color="auto"/>
        </w:pBdr>
        <w:spacing w:before="240" w:after="240"/>
        <w:rPr>
          <w:b/>
          <w:sz w:val="24"/>
          <w:szCs w:val="24"/>
        </w:rPr>
      </w:pPr>
      <w:r w:rsidRPr="00AD2D89">
        <w:rPr>
          <w:b/>
          <w:sz w:val="24"/>
          <w:szCs w:val="24"/>
        </w:rPr>
        <w:t>Required Student Supplies</w:t>
      </w:r>
    </w:p>
    <w:p w:rsidR="00AD2D89" w:rsidRPr="00AD2D89" w:rsidRDefault="00461883" w:rsidP="00AD2D89">
      <w:pPr>
        <w:widowControl w:val="0"/>
        <w:numPr>
          <w:ilvl w:val="0"/>
          <w:numId w:val="5"/>
        </w:numPr>
        <w:autoSpaceDE w:val="0"/>
        <w:autoSpaceDN w:val="0"/>
        <w:adjustRightInd w:val="0"/>
        <w:spacing w:after="0" w:line="240" w:lineRule="auto"/>
        <w:jc w:val="both"/>
        <w:rPr>
          <w:rFonts w:eastAsia="Calibri"/>
          <w:sz w:val="24"/>
          <w:szCs w:val="24"/>
        </w:rPr>
      </w:pPr>
      <w:r w:rsidRPr="00C4739B">
        <w:rPr>
          <w:rFonts w:eastAsia="Calibri"/>
          <w:sz w:val="24"/>
          <w:szCs w:val="24"/>
        </w:rPr>
        <w:t>Pen/Pencil</w:t>
      </w:r>
      <w:r w:rsidR="00AD2D89">
        <w:rPr>
          <w:rFonts w:eastAsia="Calibri"/>
          <w:sz w:val="24"/>
          <w:szCs w:val="24"/>
        </w:rPr>
        <w:t xml:space="preserve">, Eraser, </w:t>
      </w:r>
      <w:r w:rsidRPr="00AD2D89">
        <w:rPr>
          <w:rFonts w:eastAsia="Calibri"/>
          <w:sz w:val="24"/>
          <w:szCs w:val="24"/>
        </w:rPr>
        <w:t>Lined</w:t>
      </w:r>
      <w:r w:rsidR="00AD2D89">
        <w:rPr>
          <w:rFonts w:eastAsia="Calibri"/>
          <w:sz w:val="24"/>
          <w:szCs w:val="24"/>
        </w:rPr>
        <w:t xml:space="preserve"> Paper, </w:t>
      </w:r>
      <w:r w:rsidR="00AD2D89" w:rsidRPr="00C4739B">
        <w:rPr>
          <w:rFonts w:eastAsia="Calibri"/>
          <w:sz w:val="24"/>
          <w:szCs w:val="24"/>
        </w:rPr>
        <w:t>Ruler</w:t>
      </w:r>
      <w:r w:rsidR="00AD2D89">
        <w:rPr>
          <w:rFonts w:eastAsia="Calibri"/>
          <w:sz w:val="24"/>
          <w:szCs w:val="24"/>
        </w:rPr>
        <w:t xml:space="preserve">, </w:t>
      </w:r>
      <w:r w:rsidR="00AD2D89" w:rsidRPr="00AD2D89">
        <w:rPr>
          <w:rFonts w:eastAsia="Calibri"/>
          <w:sz w:val="24"/>
          <w:szCs w:val="24"/>
        </w:rPr>
        <w:t xml:space="preserve"> </w:t>
      </w:r>
      <w:r w:rsidR="00AD2D89">
        <w:rPr>
          <w:rFonts w:eastAsia="Calibri"/>
          <w:sz w:val="24"/>
          <w:szCs w:val="24"/>
        </w:rPr>
        <w:t>Protractor</w:t>
      </w:r>
    </w:p>
    <w:p w:rsidR="00C4739B" w:rsidRPr="00AD2D89" w:rsidRDefault="00C4739B" w:rsidP="00AD2D89">
      <w:pPr>
        <w:widowControl w:val="0"/>
        <w:numPr>
          <w:ilvl w:val="0"/>
          <w:numId w:val="5"/>
        </w:numPr>
        <w:autoSpaceDE w:val="0"/>
        <w:autoSpaceDN w:val="0"/>
        <w:adjustRightInd w:val="0"/>
        <w:spacing w:after="0" w:line="240" w:lineRule="auto"/>
        <w:jc w:val="both"/>
        <w:rPr>
          <w:rFonts w:eastAsia="Calibri"/>
          <w:sz w:val="24"/>
          <w:szCs w:val="24"/>
        </w:rPr>
      </w:pPr>
      <w:r w:rsidRPr="00AD2D89">
        <w:rPr>
          <w:rFonts w:eastAsia="Calibri"/>
          <w:sz w:val="24"/>
          <w:szCs w:val="24"/>
        </w:rPr>
        <w:t>Calculator – Must have Trig function keys</w:t>
      </w:r>
    </w:p>
    <w:p w:rsidR="00C4739B" w:rsidRPr="00AD2D89" w:rsidRDefault="00C4739B" w:rsidP="00AD2D89">
      <w:pPr>
        <w:pBdr>
          <w:bottom w:val="single" w:sz="4" w:space="1" w:color="auto"/>
        </w:pBdr>
        <w:spacing w:before="240" w:after="240"/>
        <w:rPr>
          <w:b/>
          <w:sz w:val="24"/>
          <w:szCs w:val="24"/>
        </w:rPr>
      </w:pPr>
      <w:r w:rsidRPr="00AD2D89">
        <w:rPr>
          <w:b/>
          <w:sz w:val="24"/>
          <w:szCs w:val="24"/>
        </w:rPr>
        <w:t xml:space="preserve">Classroom </w:t>
      </w:r>
      <w:r w:rsidR="00461883" w:rsidRPr="00AD2D89">
        <w:rPr>
          <w:b/>
          <w:sz w:val="24"/>
          <w:szCs w:val="24"/>
        </w:rPr>
        <w:t>Expectations</w:t>
      </w:r>
    </w:p>
    <w:p w:rsidR="00AD2D89" w:rsidRPr="00AD2D89" w:rsidRDefault="00AD2D89" w:rsidP="00461883">
      <w:pPr>
        <w:numPr>
          <w:ilvl w:val="0"/>
          <w:numId w:val="5"/>
        </w:numPr>
        <w:spacing w:after="0" w:line="240" w:lineRule="auto"/>
        <w:rPr>
          <w:sz w:val="24"/>
          <w:szCs w:val="24"/>
        </w:rPr>
      </w:pPr>
      <w:r w:rsidRPr="00AD2D89">
        <w:rPr>
          <w:sz w:val="24"/>
          <w:szCs w:val="24"/>
        </w:rPr>
        <w:t>Respect the teacher, yourself, others, and the learning environment. Treat others the way you like to be treated yourself.</w:t>
      </w:r>
    </w:p>
    <w:p w:rsidR="00461883" w:rsidRPr="00C4739B" w:rsidRDefault="00461883" w:rsidP="00461883">
      <w:pPr>
        <w:numPr>
          <w:ilvl w:val="0"/>
          <w:numId w:val="5"/>
        </w:numPr>
        <w:spacing w:after="0" w:line="240" w:lineRule="auto"/>
        <w:rPr>
          <w:sz w:val="24"/>
          <w:szCs w:val="24"/>
        </w:rPr>
      </w:pPr>
      <w:r w:rsidRPr="00C4739B">
        <w:rPr>
          <w:sz w:val="24"/>
          <w:szCs w:val="24"/>
        </w:rPr>
        <w:t>Regular attendance is extremely important! If you miss a class you are responsible for the work done. This includes copying notes and completing any work assigned during the missed class before the next class. With a note from home excusing your absence, you may write any missed test/quiz upon your return to class while missed labs must be made up within the designated time.</w:t>
      </w:r>
    </w:p>
    <w:p w:rsidR="00461883" w:rsidRPr="00C4739B" w:rsidRDefault="00461883" w:rsidP="00461883">
      <w:pPr>
        <w:numPr>
          <w:ilvl w:val="0"/>
          <w:numId w:val="5"/>
        </w:numPr>
        <w:spacing w:after="0" w:line="240" w:lineRule="auto"/>
        <w:rPr>
          <w:sz w:val="24"/>
          <w:szCs w:val="24"/>
        </w:rPr>
      </w:pPr>
      <w:r w:rsidRPr="00C4739B">
        <w:rPr>
          <w:sz w:val="24"/>
          <w:szCs w:val="24"/>
        </w:rPr>
        <w:t>Be on time for class. If you are late, you must fill out a late form explaining the reasons for your tardiness. Lates will require time to be made up before or after school. Three lates will result in a phone call home. Subsequent lates will result in more progressive measures.</w:t>
      </w:r>
    </w:p>
    <w:p w:rsidR="00461883" w:rsidRPr="00C4739B" w:rsidRDefault="00461883" w:rsidP="00461883">
      <w:pPr>
        <w:numPr>
          <w:ilvl w:val="0"/>
          <w:numId w:val="5"/>
        </w:numPr>
        <w:spacing w:after="0" w:line="240" w:lineRule="auto"/>
        <w:rPr>
          <w:sz w:val="24"/>
          <w:szCs w:val="24"/>
        </w:rPr>
      </w:pPr>
      <w:r w:rsidRPr="00C4739B">
        <w:rPr>
          <w:sz w:val="24"/>
          <w:szCs w:val="24"/>
        </w:rPr>
        <w:t>Actively participate. Engage in the classroom activities. Use time efficiently. Share ideas. Listen to others. Ask questions.</w:t>
      </w:r>
    </w:p>
    <w:p w:rsidR="00461883" w:rsidRPr="00C4739B" w:rsidRDefault="00461883" w:rsidP="00461883">
      <w:pPr>
        <w:numPr>
          <w:ilvl w:val="0"/>
          <w:numId w:val="5"/>
        </w:numPr>
        <w:spacing w:after="0" w:line="240" w:lineRule="auto"/>
        <w:rPr>
          <w:sz w:val="24"/>
          <w:szCs w:val="24"/>
        </w:rPr>
      </w:pPr>
      <w:r w:rsidRPr="00C4739B">
        <w:rPr>
          <w:sz w:val="24"/>
          <w:szCs w:val="24"/>
        </w:rPr>
        <w:t>Bring necessary supplies to class every day.</w:t>
      </w:r>
    </w:p>
    <w:p w:rsidR="00461883" w:rsidRPr="00C4739B" w:rsidRDefault="00461883" w:rsidP="00461883">
      <w:pPr>
        <w:numPr>
          <w:ilvl w:val="0"/>
          <w:numId w:val="5"/>
        </w:numPr>
        <w:spacing w:after="0" w:line="240" w:lineRule="auto"/>
        <w:rPr>
          <w:sz w:val="24"/>
          <w:szCs w:val="24"/>
        </w:rPr>
      </w:pPr>
      <w:r w:rsidRPr="00C4739B">
        <w:rPr>
          <w:sz w:val="24"/>
          <w:szCs w:val="24"/>
        </w:rPr>
        <w:t>If need help, you can drop in during lunch time or after school for extra help.</w:t>
      </w:r>
    </w:p>
    <w:p w:rsidR="00461883" w:rsidRPr="00C4739B" w:rsidRDefault="00461883" w:rsidP="00461883">
      <w:pPr>
        <w:numPr>
          <w:ilvl w:val="0"/>
          <w:numId w:val="5"/>
        </w:numPr>
        <w:spacing w:after="0" w:line="240" w:lineRule="auto"/>
        <w:rPr>
          <w:sz w:val="24"/>
          <w:szCs w:val="24"/>
        </w:rPr>
      </w:pPr>
      <w:r w:rsidRPr="00C4739B">
        <w:rPr>
          <w:sz w:val="24"/>
          <w:szCs w:val="24"/>
        </w:rPr>
        <w:t xml:space="preserve">Classroom has no hat policy and is strictly enforced. </w:t>
      </w:r>
    </w:p>
    <w:p w:rsidR="00461883" w:rsidRPr="00C4739B" w:rsidRDefault="00461883" w:rsidP="00461883">
      <w:pPr>
        <w:numPr>
          <w:ilvl w:val="0"/>
          <w:numId w:val="5"/>
        </w:numPr>
        <w:spacing w:after="0" w:line="240" w:lineRule="auto"/>
        <w:rPr>
          <w:sz w:val="24"/>
          <w:szCs w:val="24"/>
        </w:rPr>
      </w:pPr>
      <w:r w:rsidRPr="00C4739B">
        <w:rPr>
          <w:sz w:val="24"/>
          <w:szCs w:val="24"/>
        </w:rPr>
        <w:t>No cell phones or electronic devices are permitted in class, unless instructed otherwise.</w:t>
      </w:r>
    </w:p>
    <w:p w:rsidR="00461883" w:rsidRDefault="00461883" w:rsidP="00461883">
      <w:pPr>
        <w:numPr>
          <w:ilvl w:val="0"/>
          <w:numId w:val="5"/>
        </w:numPr>
        <w:spacing w:after="0" w:line="240" w:lineRule="auto"/>
        <w:rPr>
          <w:sz w:val="24"/>
          <w:szCs w:val="24"/>
        </w:rPr>
      </w:pPr>
      <w:r w:rsidRPr="00C4739B">
        <w:rPr>
          <w:sz w:val="24"/>
          <w:szCs w:val="24"/>
        </w:rPr>
        <w:t xml:space="preserve">Food and drink are allowed in the classroom as long as the environment is respected. </w:t>
      </w:r>
    </w:p>
    <w:p w:rsidR="00AD2D89" w:rsidRPr="00AD2D89" w:rsidRDefault="00AD2D89" w:rsidP="00AD2D89">
      <w:pPr>
        <w:spacing w:after="0" w:line="240" w:lineRule="auto"/>
        <w:ind w:left="720"/>
        <w:rPr>
          <w:sz w:val="24"/>
          <w:szCs w:val="24"/>
        </w:rPr>
      </w:pPr>
    </w:p>
    <w:p w:rsidR="00C4739B" w:rsidRPr="00C4739B" w:rsidRDefault="00C4739B" w:rsidP="00C4739B">
      <w:pPr>
        <w:rPr>
          <w:sz w:val="24"/>
          <w:szCs w:val="24"/>
        </w:rPr>
      </w:pPr>
      <w:r w:rsidRPr="00C4739B">
        <w:rPr>
          <w:sz w:val="24"/>
          <w:szCs w:val="24"/>
        </w:rPr>
        <w:t xml:space="preserve">Dear Parents, it is very important that parents/guardians are involved in their child’s education. Please take a few moments to read this outline with your child. Any questions, feel free to contact me at the school: Email - </w:t>
      </w:r>
      <w:hyperlink r:id="rId6" w:history="1">
        <w:r w:rsidRPr="00C4739B">
          <w:rPr>
            <w:rStyle w:val="Hyperlink"/>
            <w:sz w:val="24"/>
            <w:szCs w:val="24"/>
          </w:rPr>
          <w:t>parhar_s@surreyschools.ca</w:t>
        </w:r>
      </w:hyperlink>
      <w:r w:rsidRPr="00C4739B">
        <w:rPr>
          <w:sz w:val="24"/>
          <w:szCs w:val="24"/>
        </w:rPr>
        <w:t xml:space="preserve">  Phone: 604-588-3418 - ext. 2204 </w:t>
      </w:r>
    </w:p>
    <w:p w:rsidR="00C4739B" w:rsidRPr="00C4739B" w:rsidRDefault="00C4739B" w:rsidP="00C4739B">
      <w:pPr>
        <w:rPr>
          <w:sz w:val="24"/>
          <w:szCs w:val="24"/>
        </w:rPr>
      </w:pPr>
    </w:p>
    <w:p w:rsidR="00C4739B" w:rsidRPr="00C4739B" w:rsidRDefault="00C4739B" w:rsidP="00C4739B">
      <w:pPr>
        <w:ind w:left="720"/>
        <w:rPr>
          <w:sz w:val="24"/>
          <w:szCs w:val="24"/>
        </w:rPr>
      </w:pPr>
      <w:r w:rsidRPr="00C4739B">
        <w:rPr>
          <w:sz w:val="24"/>
          <w:szCs w:val="24"/>
        </w:rPr>
        <w:t>_______________________________</w:t>
      </w:r>
      <w:r w:rsidRPr="00C4739B">
        <w:rPr>
          <w:sz w:val="24"/>
          <w:szCs w:val="24"/>
        </w:rPr>
        <w:tab/>
      </w:r>
      <w:r w:rsidRPr="00C4739B">
        <w:rPr>
          <w:sz w:val="24"/>
          <w:szCs w:val="24"/>
        </w:rPr>
        <w:tab/>
        <w:t>______________________</w:t>
      </w:r>
    </w:p>
    <w:p w:rsidR="00C4739B" w:rsidRPr="00C4739B" w:rsidRDefault="00C4739B" w:rsidP="00C4739B">
      <w:pPr>
        <w:ind w:left="720"/>
        <w:rPr>
          <w:sz w:val="24"/>
          <w:szCs w:val="24"/>
        </w:rPr>
      </w:pPr>
      <w:r w:rsidRPr="00C4739B">
        <w:rPr>
          <w:sz w:val="24"/>
          <w:szCs w:val="24"/>
        </w:rPr>
        <w:t>Parent/Guardian Signature</w:t>
      </w:r>
      <w:r w:rsidRPr="00C4739B">
        <w:rPr>
          <w:sz w:val="24"/>
          <w:szCs w:val="24"/>
        </w:rPr>
        <w:tab/>
      </w:r>
      <w:r w:rsidRPr="00C4739B">
        <w:rPr>
          <w:sz w:val="24"/>
          <w:szCs w:val="24"/>
        </w:rPr>
        <w:tab/>
      </w:r>
      <w:r w:rsidRPr="00C4739B">
        <w:rPr>
          <w:sz w:val="24"/>
          <w:szCs w:val="24"/>
        </w:rPr>
        <w:tab/>
      </w:r>
      <w:r w:rsidRPr="00C4739B">
        <w:rPr>
          <w:sz w:val="24"/>
          <w:szCs w:val="24"/>
        </w:rPr>
        <w:tab/>
      </w:r>
      <w:r>
        <w:rPr>
          <w:sz w:val="24"/>
          <w:szCs w:val="24"/>
        </w:rPr>
        <w:t>Date</w:t>
      </w:r>
    </w:p>
    <w:p w:rsidR="00C4739B" w:rsidRDefault="00C4739B" w:rsidP="00C4739B">
      <w:pPr>
        <w:ind w:left="720"/>
        <w:rPr>
          <w:sz w:val="24"/>
          <w:szCs w:val="24"/>
        </w:rPr>
      </w:pPr>
    </w:p>
    <w:p w:rsidR="00C4739B" w:rsidRPr="00C4739B" w:rsidRDefault="00C4739B" w:rsidP="00C4739B">
      <w:pPr>
        <w:ind w:left="720"/>
        <w:rPr>
          <w:sz w:val="24"/>
          <w:szCs w:val="24"/>
        </w:rPr>
      </w:pPr>
      <w:r w:rsidRPr="00C4739B">
        <w:rPr>
          <w:sz w:val="24"/>
          <w:szCs w:val="24"/>
        </w:rPr>
        <w:t>_______________________________</w:t>
      </w:r>
      <w:r w:rsidRPr="00C4739B">
        <w:rPr>
          <w:sz w:val="24"/>
          <w:szCs w:val="24"/>
        </w:rPr>
        <w:tab/>
      </w:r>
      <w:r w:rsidRPr="00C4739B">
        <w:rPr>
          <w:sz w:val="24"/>
          <w:szCs w:val="24"/>
        </w:rPr>
        <w:tab/>
        <w:t>______________________</w:t>
      </w:r>
    </w:p>
    <w:p w:rsidR="00E606D7" w:rsidRPr="00C4739B" w:rsidRDefault="00C4739B" w:rsidP="00C4739B">
      <w:pPr>
        <w:ind w:left="720"/>
        <w:rPr>
          <w:sz w:val="24"/>
          <w:szCs w:val="24"/>
        </w:rPr>
      </w:pPr>
      <w:r w:rsidRPr="00C4739B">
        <w:rPr>
          <w:sz w:val="24"/>
          <w:szCs w:val="24"/>
        </w:rPr>
        <w:t>Student Name</w:t>
      </w:r>
      <w:r w:rsidRPr="00C4739B">
        <w:rPr>
          <w:sz w:val="24"/>
          <w:szCs w:val="24"/>
        </w:rPr>
        <w:tab/>
      </w:r>
      <w:r w:rsidRPr="00C4739B">
        <w:rPr>
          <w:sz w:val="24"/>
          <w:szCs w:val="24"/>
        </w:rPr>
        <w:tab/>
      </w:r>
      <w:r w:rsidRPr="00C4739B">
        <w:rPr>
          <w:sz w:val="24"/>
          <w:szCs w:val="24"/>
        </w:rPr>
        <w:tab/>
      </w:r>
      <w:r w:rsidRPr="00C4739B">
        <w:rPr>
          <w:sz w:val="24"/>
          <w:szCs w:val="24"/>
        </w:rPr>
        <w:tab/>
      </w:r>
      <w:r w:rsidRPr="00C4739B">
        <w:rPr>
          <w:sz w:val="24"/>
          <w:szCs w:val="24"/>
        </w:rPr>
        <w:tab/>
      </w:r>
      <w:r w:rsidRPr="00C4739B">
        <w:rPr>
          <w:sz w:val="24"/>
          <w:szCs w:val="24"/>
        </w:rPr>
        <w:tab/>
      </w:r>
      <w:r>
        <w:rPr>
          <w:sz w:val="24"/>
          <w:szCs w:val="24"/>
        </w:rPr>
        <w:t>Student Signature</w:t>
      </w:r>
    </w:p>
    <w:p w:rsidR="00CA3299" w:rsidRPr="00CA3299" w:rsidRDefault="00CA3299" w:rsidP="00CA3299">
      <w:pPr>
        <w:pStyle w:val="Default"/>
        <w:rPr>
          <w:rFonts w:ascii="Arial" w:hAnsi="Arial" w:cs="Arial"/>
          <w:sz w:val="28"/>
          <w:szCs w:val="28"/>
        </w:rPr>
      </w:pPr>
    </w:p>
    <w:p w:rsidR="00CA3299" w:rsidRPr="00CA3299" w:rsidRDefault="00CA3299" w:rsidP="00CA3299">
      <w:pPr>
        <w:rPr>
          <w:rFonts w:ascii="Arial" w:hAnsi="Arial" w:cs="Arial"/>
          <w:b/>
          <w:bCs/>
          <w:sz w:val="28"/>
          <w:szCs w:val="28"/>
        </w:rPr>
      </w:pPr>
    </w:p>
    <w:p w:rsidR="00CA3299" w:rsidRDefault="00CA3299" w:rsidP="00CA3299">
      <w:pPr>
        <w:rPr>
          <w:noProof/>
          <w:sz w:val="28"/>
          <w:szCs w:val="28"/>
        </w:rPr>
      </w:pPr>
    </w:p>
    <w:p w:rsidR="00CA3299" w:rsidRPr="00CA3299" w:rsidRDefault="00CA3299" w:rsidP="00CA3299">
      <w:pPr>
        <w:rPr>
          <w:sz w:val="28"/>
          <w:szCs w:val="28"/>
        </w:rPr>
      </w:pPr>
    </w:p>
    <w:sectPr w:rsidR="00CA3299" w:rsidRPr="00CA3299" w:rsidSect="00C4739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16310"/>
    <w:multiLevelType w:val="hybridMultilevel"/>
    <w:tmpl w:val="5610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DC7E4B"/>
    <w:multiLevelType w:val="hybridMultilevel"/>
    <w:tmpl w:val="0C6C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2978AA"/>
    <w:multiLevelType w:val="multilevel"/>
    <w:tmpl w:val="A312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736B65"/>
    <w:multiLevelType w:val="multilevel"/>
    <w:tmpl w:val="C032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1B20FBB"/>
    <w:multiLevelType w:val="hybridMultilevel"/>
    <w:tmpl w:val="3636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299"/>
    <w:rsid w:val="00013EF3"/>
    <w:rsid w:val="0009598C"/>
    <w:rsid w:val="00167B17"/>
    <w:rsid w:val="00246AF4"/>
    <w:rsid w:val="0045361A"/>
    <w:rsid w:val="00461883"/>
    <w:rsid w:val="00750BD8"/>
    <w:rsid w:val="007B5609"/>
    <w:rsid w:val="00A81A63"/>
    <w:rsid w:val="00AD2D89"/>
    <w:rsid w:val="00B05C3F"/>
    <w:rsid w:val="00B932BE"/>
    <w:rsid w:val="00BF0A96"/>
    <w:rsid w:val="00C4739B"/>
    <w:rsid w:val="00CA3299"/>
    <w:rsid w:val="00E606D7"/>
    <w:rsid w:val="00F942BF"/>
    <w:rsid w:val="00FC20E1"/>
    <w:rsid w:val="00FE758E"/>
    <w:rsid w:val="00FF2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21AC"/>
  <w15:docId w15:val="{35372DA3-B128-4159-BC9F-D2AA65AA5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3299"/>
    <w:pPr>
      <w:autoSpaceDE w:val="0"/>
      <w:autoSpaceDN w:val="0"/>
      <w:adjustRightInd w:val="0"/>
      <w:spacing w:after="0" w:line="240" w:lineRule="auto"/>
    </w:pPr>
    <w:rPr>
      <w:rFonts w:ascii="Calibri" w:hAnsi="Calibri" w:cs="Calibri"/>
      <w:color w:val="000000"/>
      <w:sz w:val="24"/>
      <w:szCs w:val="24"/>
    </w:rPr>
  </w:style>
  <w:style w:type="table" w:styleId="LightShading-Accent4">
    <w:name w:val="Light Shading Accent 4"/>
    <w:basedOn w:val="TableNormal"/>
    <w:uiPriority w:val="60"/>
    <w:rsid w:val="00CA329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BalloonText">
    <w:name w:val="Balloon Text"/>
    <w:basedOn w:val="Normal"/>
    <w:link w:val="BalloonTextChar"/>
    <w:uiPriority w:val="99"/>
    <w:semiHidden/>
    <w:unhideWhenUsed/>
    <w:rsid w:val="00CA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299"/>
    <w:rPr>
      <w:rFonts w:ascii="Tahoma" w:hAnsi="Tahoma" w:cs="Tahoma"/>
      <w:sz w:val="16"/>
      <w:szCs w:val="16"/>
    </w:rPr>
  </w:style>
  <w:style w:type="table" w:styleId="TableGrid">
    <w:name w:val="Table Grid"/>
    <w:basedOn w:val="TableNormal"/>
    <w:uiPriority w:val="59"/>
    <w:rsid w:val="007B5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6AF4"/>
    <w:rPr>
      <w:color w:val="0000FF"/>
      <w:u w:val="single"/>
    </w:rPr>
  </w:style>
  <w:style w:type="paragraph" w:styleId="ListParagraph">
    <w:name w:val="List Paragraph"/>
    <w:basedOn w:val="Normal"/>
    <w:uiPriority w:val="34"/>
    <w:qFormat/>
    <w:rsid w:val="000959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779929">
      <w:bodyDiv w:val="1"/>
      <w:marLeft w:val="0"/>
      <w:marRight w:val="0"/>
      <w:marTop w:val="0"/>
      <w:marBottom w:val="0"/>
      <w:divBdr>
        <w:top w:val="none" w:sz="0" w:space="0" w:color="auto"/>
        <w:left w:val="none" w:sz="0" w:space="0" w:color="auto"/>
        <w:bottom w:val="none" w:sz="0" w:space="0" w:color="auto"/>
        <w:right w:val="none" w:sz="0" w:space="0" w:color="auto"/>
      </w:divBdr>
    </w:div>
    <w:div w:id="1682510859">
      <w:bodyDiv w:val="1"/>
      <w:marLeft w:val="0"/>
      <w:marRight w:val="0"/>
      <w:marTop w:val="0"/>
      <w:marBottom w:val="0"/>
      <w:divBdr>
        <w:top w:val="none" w:sz="0" w:space="0" w:color="auto"/>
        <w:left w:val="none" w:sz="0" w:space="0" w:color="auto"/>
        <w:bottom w:val="none" w:sz="0" w:space="0" w:color="auto"/>
        <w:right w:val="none" w:sz="0" w:space="0" w:color="auto"/>
      </w:divBdr>
    </w:div>
    <w:div w:id="176561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har_s@surreyschools.ca" TargetMode="External"/><Relationship Id="rId11" Type="http://schemas.openxmlformats.org/officeDocument/2006/relationships/customXml" Target="../customXml/item3.xml"/><Relationship Id="rId5" Type="http://schemas.openxmlformats.org/officeDocument/2006/relationships/hyperlink" Target="http://www.freshgrade.com"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074D9FB955C14CA5951D092B7E486E" ma:contentTypeVersion="1" ma:contentTypeDescription="Create a new document." ma:contentTypeScope="" ma:versionID="0bdc6c535b43733cee0f32cdae8b0f80">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128766E-F643-4453-A277-01E077DDC9EC}"/>
</file>

<file path=customXml/itemProps2.xml><?xml version="1.0" encoding="utf-8"?>
<ds:datastoreItem xmlns:ds="http://schemas.openxmlformats.org/officeDocument/2006/customXml" ds:itemID="{B8A9265E-AB53-4BBB-ABD4-C7C4A13991AD}"/>
</file>

<file path=customXml/itemProps3.xml><?xml version="1.0" encoding="utf-8"?>
<ds:datastoreItem xmlns:ds="http://schemas.openxmlformats.org/officeDocument/2006/customXml" ds:itemID="{71F6378C-7366-40FB-8D99-6803F52206BA}"/>
</file>

<file path=docProps/app.xml><?xml version="1.0" encoding="utf-8"?>
<Properties xmlns="http://schemas.openxmlformats.org/officeDocument/2006/extended-properties" xmlns:vt="http://schemas.openxmlformats.org/officeDocument/2006/docPropsVTypes">
  <Template>Normal</Template>
  <TotalTime>204</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#36 (Surrey)</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Tinh Ngo</cp:lastModifiedBy>
  <cp:revision>8</cp:revision>
  <cp:lastPrinted>2017-09-12T15:16:00Z</cp:lastPrinted>
  <dcterms:created xsi:type="dcterms:W3CDTF">2017-09-11T18:38:00Z</dcterms:created>
  <dcterms:modified xsi:type="dcterms:W3CDTF">2017-10-18T00:24:00Z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0x010100FB074D9FB955C14CA5951D092B7E486E</vt:lpwstr>
  </property>
</Properties>
</file>